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36"/>
          <w:szCs w:val="36"/>
        </w:rPr>
      </w:pPr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SAP S/4HANA Transformation of the Year Award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Name_</w:t>
      </w:r>
      <w:r w:rsidDel="00000000" w:rsidR="00000000" w:rsidRPr="00000000">
        <w:rPr>
          <w:rtl w:val="0"/>
        </w:rPr>
        <w:t xml:space="preserve"> SAP S/4HANA Transformation of the Year Award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https://tmcltd.com/sap-awards/sap-project-award-form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core business challenges triggered your move to SAP S/4HANA, and what transformation goals were defined at the outset?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Describe the scope of the S/4HANA program (modules, deployment model, timeline, geographies).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S/4HANA enable business process standardization, simplification, or re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engineering?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measurable business outcomes were achieved post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go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live (efficiency, agility, cost, decision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making)?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leadership and governance ensure program success and stakeholder alignment?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change management and user adoption strategies were executed?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36" w:before="36" w:line="240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Share key evidence such as architecture diagrams, program plans, and before/after performance metrics.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ambria Math">
    <w:embedRegular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sap-awards/sap-project-award-for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pc5/zZAHViyv2QVJXH2Lmqt3TA==">CgMxLjAyCGguZ2pkZ3hzOAByITFpcUdPNHRtLTJycEM5M1lHYWpGY09lM3Bqc241SHdjTA==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2026-01-01T08:05:00Z</dcterms:created>
  <dc:creator>Aly</dc:creator>
</cp:coreProperties>
</file>