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Excellence in SAP S/4HANA Private Cloud Adoption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 Excellence in SAP S/4HANA Private Cloud Adoption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Why was Private Cloud selected, and how did it align with your cloud and business strategy?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Describe your scope, including system landscape, hyperscaler, and commercial model.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was governance structured between business, IT, SAP, and partners?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operational or strategic benefits have been realized since moving to SAP S/4HANA Private Cloud?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SAP S/4HANA Private Cloud help improve scalability, security, or innovation readiness?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risks or challenges were encountered, and how were they mitigated?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Provide evidence such as contracts, architecture diagrams, and operational KPIs.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9gbiL6em5asN99+ea51rnPpVhQ==">CgMxLjAyCGguZ2pkZ3hzOAByITF6ckpkR0ZfdHNWZUVqUklEc3NRdGItLTdHRm16RHI0OA==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2026-01-01T08:10:00Z</dcterms:created>
  <dc:creator>Aly</dc:creator>
</cp:coreProperties>
</file>